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rFonts w:ascii="Verdana" w:hAnsi="Verdana"/>
          <w:b/>
          <w:lang w:val="pl-PL"/>
        </w:rPr>
        <w:t>Dane techniczne obudowy SilentiumPC Signum SG1: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  <w:lang w:val="pl-PL"/>
        </w:rPr>
        <w:t>EAN:</w:t>
      </w:r>
      <w:r>
        <w:rPr>
          <w:rFonts w:ascii="Verdana" w:hAnsi="Verdana"/>
          <w:lang w:val="pl-PL"/>
        </w:rPr>
        <w:t xml:space="preserve"> </w:t>
      </w:r>
      <w:r>
        <w:rPr>
          <w:rFonts w:ascii="Verdana" w:hAnsi="Verdana"/>
          <w:color w:val="000000"/>
          <w:highlight w:val="white"/>
          <w:lang w:val="pl-PL"/>
        </w:rPr>
        <w:t>5903018660622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  <w:color w:val="000000"/>
          <w:highlight w:val="white"/>
          <w:lang w:val="pl-PL"/>
        </w:rPr>
        <w:t>Kod produktu:</w:t>
      </w:r>
      <w:r>
        <w:rPr>
          <w:rFonts w:ascii="Verdana" w:hAnsi="Verdana"/>
          <w:color w:val="000000"/>
          <w:highlight w:val="white"/>
          <w:lang w:val="pl-PL"/>
        </w:rPr>
        <w:t xml:space="preserve"> SPC229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  <w:lang w:val="pl-PL"/>
        </w:rPr>
        <w:t>Wymiary obudowy:</w:t>
      </w:r>
      <w:r>
        <w:rPr>
          <w:rFonts w:ascii="Verdana" w:hAnsi="Verdana"/>
          <w:lang w:val="pl-PL"/>
        </w:rPr>
        <w:t xml:space="preserve"> 448×205×413 mm (Wys.×Szer.×Gł.).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  <w:lang w:val="pl-PL"/>
        </w:rPr>
        <w:t>Wymiary opakowania:</w:t>
      </w:r>
      <w:r>
        <w:rPr>
          <w:rFonts w:ascii="Verdana" w:hAnsi="Verdana"/>
          <w:lang w:val="pl-PL"/>
        </w:rPr>
        <w:t xml:space="preserve"> 472×265×480 mm (Wys.×Szer.×Gł.).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  <w:lang w:val="pl-PL"/>
        </w:rPr>
        <w:t>Waga netto:</w:t>
      </w:r>
      <w:r>
        <w:rPr>
          <w:rFonts w:ascii="Verdana" w:hAnsi="Verdana"/>
          <w:lang w:val="pl-PL"/>
        </w:rPr>
        <w:t xml:space="preserve"> 4,00 kg.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  <w:lang w:val="pl-PL"/>
        </w:rPr>
        <w:t>Waga brutto:</w:t>
      </w:r>
      <w:r>
        <w:rPr>
          <w:rFonts w:ascii="Verdana" w:hAnsi="Verdana"/>
          <w:lang w:val="pl-PL"/>
        </w:rPr>
        <w:t xml:space="preserve"> 4,88 kg.</w:t>
      </w:r>
    </w:p>
    <w:p>
      <w:pPr>
        <w:pStyle w:val="NoSpacing"/>
        <w:numPr>
          <w:ilvl w:val="0"/>
          <w:numId w:val="1"/>
        </w:numPr>
        <w:rPr>
          <w:lang w:val="pl-PL"/>
        </w:rPr>
      </w:pPr>
      <w:r>
        <w:rPr>
          <w:rFonts w:ascii="Verdana" w:hAnsi="Verdana"/>
          <w:b/>
          <w:bCs/>
          <w:lang w:val="pl-PL"/>
        </w:rPr>
        <w:t>Standard:</w:t>
      </w:r>
      <w:r>
        <w:rPr>
          <w:rFonts w:ascii="Verdana" w:hAnsi="Verdana"/>
          <w:lang w:val="pl-PL"/>
        </w:rPr>
        <w:t xml:space="preserve"> mITX/mATX/ATX.</w:t>
      </w:r>
    </w:p>
    <w:p>
      <w:pPr>
        <w:pStyle w:val="NoSpacing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  <w:b/>
          <w:bCs/>
          <w:lang w:val="pl-PL"/>
        </w:rPr>
        <w:t>Liczba zatok:</w:t>
      </w:r>
    </w:p>
    <w:p>
      <w:pPr>
        <w:pStyle w:val="NoSpacing"/>
        <w:numPr>
          <w:ilvl w:val="1"/>
          <w:numId w:val="1"/>
        </w:numPr>
        <w:rPr>
          <w:lang w:val="pl-PL"/>
        </w:rPr>
      </w:pPr>
      <w:r>
        <w:rPr>
          <w:rFonts w:ascii="Verdana" w:hAnsi="Verdana"/>
          <w:lang w:val="pl-PL"/>
        </w:rPr>
        <w:t>Zewnętrzne: brak</w:t>
      </w:r>
    </w:p>
    <w:p>
      <w:pPr>
        <w:pStyle w:val="NoSpacing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  <w:lang w:val="pl-PL"/>
        </w:rPr>
        <w:t>Wewnętrzne:</w:t>
      </w:r>
    </w:p>
    <w:p>
      <w:pPr>
        <w:pStyle w:val="NoSpacing"/>
        <w:numPr>
          <w:ilvl w:val="2"/>
          <w:numId w:val="1"/>
        </w:numPr>
        <w:rPr/>
      </w:pPr>
      <w:r>
        <w:rPr>
          <w:rFonts w:ascii="Verdana" w:hAnsi="Verdana"/>
          <w:lang w:val="pl-PL"/>
        </w:rPr>
        <w:t>2 × 2,5”/3,5”</w:t>
      </w:r>
    </w:p>
    <w:p>
      <w:pPr>
        <w:pStyle w:val="NoSpacing"/>
        <w:numPr>
          <w:ilvl w:val="2"/>
          <w:numId w:val="1"/>
        </w:numPr>
        <w:rPr/>
      </w:pPr>
      <w:r>
        <w:rPr>
          <w:rFonts w:ascii="Verdana" w:hAnsi="Verdana"/>
          <w:lang w:val="pl-PL"/>
        </w:rPr>
        <w:t>2 × 2,5″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  <w:lang w:val="pl-PL"/>
        </w:rPr>
        <w:t>Miejsca na karty rozszerzeń:</w:t>
      </w:r>
      <w:r>
        <w:rPr>
          <w:rFonts w:ascii="Verdana" w:hAnsi="Verdana"/>
          <w:lang w:val="pl-PL"/>
        </w:rPr>
        <w:t xml:space="preserve"> 7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  <w:lang w:val="pl-PL"/>
        </w:rPr>
        <w:t xml:space="preserve">Maksymalna długość karty graficznej: </w:t>
      </w:r>
      <w:r>
        <w:rPr>
          <w:rFonts w:ascii="Verdana" w:hAnsi="Verdana"/>
          <w:lang w:val="pl-PL"/>
        </w:rPr>
        <w:t>325 mm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  <w:lang w:val="pl-PL"/>
        </w:rPr>
        <w:t>Maksymalna wysokość układu chłodzenia CPU:</w:t>
      </w:r>
      <w:r>
        <w:rPr>
          <w:rFonts w:ascii="Verdana" w:hAnsi="Verdana"/>
          <w:lang w:val="pl-PL"/>
        </w:rPr>
        <w:t xml:space="preserve"> 161 mm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  <w:lang w:val="pl-PL"/>
        </w:rPr>
        <w:t xml:space="preserve">System chłodzenia </w:t>
      </w:r>
      <w:r>
        <w:rPr>
          <w:rFonts w:ascii="Verdana" w:hAnsi="Verdana"/>
          <w:lang w:val="pl-PL"/>
        </w:rPr>
        <w:t>(1 wentylator w komplecie, maksimum 8):</w:t>
      </w:r>
    </w:p>
    <w:p>
      <w:pPr>
        <w:pStyle w:val="NoSpacing"/>
        <w:numPr>
          <w:ilvl w:val="1"/>
          <w:numId w:val="1"/>
        </w:numPr>
        <w:rPr/>
      </w:pPr>
      <w:r>
        <w:rPr>
          <w:rFonts w:ascii="Verdana" w:hAnsi="Verdana"/>
        </w:rPr>
        <w:t>przód: 1 × wentylator SilentiumPC HP 120 mm (600 - 1200</w:t>
      </w:r>
      <w:r>
        <w:rPr>
          <w:rFonts w:ascii="Verdana" w:hAnsi="Verdana"/>
          <w:lang w:val="pl-PL"/>
        </w:rPr>
        <w:t xml:space="preserve"> obr./min)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  <w:lang w:val="pl-PL"/>
        </w:rPr>
        <w:t>Porty, kontrolery i przyciski na panelu górnym:</w:t>
      </w:r>
    </w:p>
    <w:p>
      <w:pPr>
        <w:pStyle w:val="NoSpacing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  <w:lang w:val="pl-PL"/>
        </w:rPr>
        <w:t>2 × USB 3.1 Gen 1 (3.0) (podłączane wewnętrznie),</w:t>
      </w:r>
    </w:p>
    <w:p>
      <w:pPr>
        <w:pStyle w:val="NoSpacing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  <w:lang w:val="pl-PL"/>
        </w:rPr>
        <w:t>1 × słuchawki (HD Audio),</w:t>
      </w:r>
    </w:p>
    <w:p>
      <w:pPr>
        <w:pStyle w:val="NoSpacing"/>
        <w:numPr>
          <w:ilvl w:val="1"/>
          <w:numId w:val="1"/>
        </w:numPr>
        <w:rPr>
          <w:lang w:val="pl-PL"/>
        </w:rPr>
      </w:pPr>
      <w:r>
        <w:rPr>
          <w:rFonts w:ascii="Verdana" w:hAnsi="Verdana"/>
          <w:lang w:val="pl-PL"/>
        </w:rPr>
        <w:t>1 × mikrofon (HD Audio),</w:t>
      </w:r>
    </w:p>
    <w:p>
      <w:pPr>
        <w:pStyle w:val="NoSpacing"/>
        <w:numPr>
          <w:ilvl w:val="1"/>
          <w:numId w:val="1"/>
        </w:numPr>
        <w:rPr/>
      </w:pPr>
      <w:r>
        <w:rPr>
          <w:rFonts w:ascii="Verdana" w:hAnsi="Verdana"/>
          <w:lang w:val="pl-PL"/>
        </w:rPr>
        <w:t>1 × przycisk POWER,</w:t>
      </w:r>
    </w:p>
    <w:p>
      <w:pPr>
        <w:pStyle w:val="NoSpacing"/>
        <w:numPr>
          <w:ilvl w:val="1"/>
          <w:numId w:val="1"/>
        </w:numPr>
        <w:rPr/>
      </w:pPr>
      <w:r>
        <w:rPr>
          <w:rFonts w:ascii="Verdana" w:hAnsi="Verdana"/>
          <w:lang w:val="pl-PL"/>
        </w:rPr>
        <w:t>1 × przycisk RESET.</w:t>
      </w:r>
    </w:p>
    <w:p>
      <w:pPr>
        <w:pStyle w:val="NoSpacing"/>
        <w:numPr>
          <w:ilvl w:val="0"/>
          <w:numId w:val="1"/>
        </w:numPr>
        <w:rPr/>
      </w:pPr>
      <w:bookmarkStart w:id="0" w:name="__DdeLink__244_174363602"/>
      <w:r>
        <w:rPr>
          <w:rFonts w:ascii="Verdana" w:hAnsi="Verdana"/>
          <w:b/>
          <w:bCs/>
          <w:lang w:val="pl-PL"/>
        </w:rPr>
        <w:t xml:space="preserve">Zasilacz (standard ATX PS2): </w:t>
      </w:r>
      <w:r>
        <w:rPr>
          <w:rFonts w:ascii="Verdana" w:hAnsi="Verdana"/>
          <w:b w:val="false"/>
          <w:bCs w:val="false"/>
          <w:lang w:val="pl-PL"/>
        </w:rPr>
        <w:t>brak w komplecie</w:t>
      </w:r>
      <w:bookmarkEnd w:id="0"/>
      <w:r>
        <w:rPr>
          <w:rFonts w:ascii="Verdana" w:hAnsi="Verdana"/>
          <w:b w:val="false"/>
          <w:bCs w:val="false"/>
          <w:lang w:val="pl-PL"/>
        </w:rPr>
        <w:t>.</w:t>
      </w:r>
    </w:p>
    <w:p>
      <w:pPr>
        <w:pStyle w:val="NoSpacing"/>
        <w:rPr>
          <w:rFonts w:ascii="Verdana" w:hAnsi="Verdana"/>
          <w:b/>
          <w:b/>
          <w:lang w:val="pl-PL"/>
        </w:rPr>
      </w:pPr>
      <w:r>
        <w:rPr>
          <w:rFonts w:ascii="Verdana" w:hAnsi="Verdana"/>
          <w:b/>
          <w:lang w:val="pl-PL"/>
        </w:rPr>
      </w:r>
    </w:p>
    <w:p>
      <w:pPr>
        <w:pStyle w:val="NoSpacing"/>
        <w:rPr>
          <w:rFonts w:ascii="Verdana" w:hAnsi="Verdana"/>
          <w:b/>
          <w:b/>
          <w:lang w:val="pl-PL"/>
        </w:rPr>
      </w:pPr>
      <w:r>
        <w:rPr>
          <w:rFonts w:ascii="Verdana" w:hAnsi="Verdana"/>
          <w:b/>
          <w:lang w:val="pl-PL"/>
        </w:rPr>
      </w:r>
    </w:p>
    <w:p>
      <w:pPr>
        <w:pStyle w:val="NoSpacing"/>
        <w:rPr/>
      </w:pPr>
      <w:r>
        <w:rPr>
          <w:rFonts w:ascii="Verdana" w:hAnsi="Verdana"/>
          <w:b/>
        </w:rPr>
        <w:t>Technical specification SilentiumPC Signum SG1: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</w:rPr>
        <w:t>EAN: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000000"/>
          <w:highlight w:val="white"/>
          <w:lang w:val="pl-PL"/>
        </w:rPr>
        <w:t>5903018660622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  <w:color w:val="000000"/>
          <w:highlight w:val="white"/>
        </w:rPr>
        <w:t xml:space="preserve">Product code: </w:t>
      </w:r>
      <w:r>
        <w:rPr>
          <w:rFonts w:ascii="Verdana" w:hAnsi="Verdana"/>
          <w:color w:val="000000"/>
          <w:highlight w:val="white"/>
        </w:rPr>
        <w:t>SPC229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</w:rPr>
        <w:t xml:space="preserve">Case dimensions: </w:t>
      </w:r>
      <w:r>
        <w:rPr>
          <w:rFonts w:ascii="Verdana" w:hAnsi="Verdana"/>
          <w:b w:val="false"/>
          <w:bCs w:val="false"/>
        </w:rPr>
        <w:t>448</w:t>
      </w:r>
      <w:r>
        <w:rPr>
          <w:rFonts w:ascii="Verdana" w:hAnsi="Verdana"/>
          <w:b w:val="false"/>
          <w:bCs w:val="false"/>
          <w:lang w:val="pl-PL"/>
        </w:rPr>
        <w:t>×</w:t>
      </w:r>
      <w:r>
        <w:rPr>
          <w:rFonts w:ascii="Verdana" w:hAnsi="Verdana"/>
          <w:b w:val="false"/>
          <w:bCs w:val="false"/>
        </w:rPr>
        <w:t>205</w:t>
      </w:r>
      <w:r>
        <w:rPr>
          <w:rFonts w:ascii="Verdana" w:hAnsi="Verdana"/>
          <w:b w:val="false"/>
          <w:bCs w:val="false"/>
          <w:lang w:val="pl-PL"/>
        </w:rPr>
        <w:t>×</w:t>
      </w:r>
      <w:r>
        <w:rPr>
          <w:rFonts w:ascii="Verdana" w:hAnsi="Verdana"/>
          <w:b w:val="false"/>
          <w:bCs w:val="false"/>
        </w:rPr>
        <w:t>413</w:t>
      </w:r>
      <w:r>
        <w:rPr>
          <w:rFonts w:ascii="Verdana" w:hAnsi="Verdana"/>
        </w:rPr>
        <w:t xml:space="preserve"> mm</w:t>
      </w:r>
      <w:bookmarkStart w:id="1" w:name="__DdeLink__111_886376704"/>
      <w:r>
        <w:rPr>
          <w:rFonts w:ascii="Verdana" w:hAnsi="Verdana"/>
        </w:rPr>
        <w:t xml:space="preserve"> (H×W×D)</w:t>
      </w:r>
      <w:bookmarkEnd w:id="1"/>
      <w:r>
        <w:rPr>
          <w:rFonts w:ascii="Verdana" w:hAnsi="Verdana"/>
        </w:rPr>
        <w:t>.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</w:rPr>
        <w:t xml:space="preserve">Box dimensions: </w:t>
      </w:r>
      <w:r>
        <w:rPr>
          <w:rFonts w:ascii="Verdana" w:hAnsi="Verdana"/>
          <w:b w:val="false"/>
          <w:bCs w:val="false"/>
          <w:lang w:val="pl-PL"/>
        </w:rPr>
        <w:t xml:space="preserve">472×265×480 </w:t>
      </w:r>
      <w:r>
        <w:rPr>
          <w:rFonts w:ascii="Verdana" w:hAnsi="Verdana"/>
        </w:rPr>
        <w:t>mm (H×W×D).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</w:rPr>
        <w:t>Standard:</w:t>
      </w:r>
      <w:r>
        <w:rPr>
          <w:rFonts w:ascii="Verdana" w:hAnsi="Verdana"/>
        </w:rPr>
        <w:t xml:space="preserve"> mITX/mATX/ATX.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</w:rPr>
        <w:t>Net weight:</w:t>
      </w:r>
      <w:r>
        <w:rPr>
          <w:rFonts w:ascii="Verdana" w:hAnsi="Verdana"/>
        </w:rPr>
        <w:t xml:space="preserve"> 4,00 kg.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</w:rPr>
        <w:t>Gross weight:</w:t>
      </w:r>
      <w:r>
        <w:rPr>
          <w:rFonts w:ascii="Verdana" w:hAnsi="Verdana"/>
        </w:rPr>
        <w:t xml:space="preserve"> 4,88 kg.</w:t>
      </w:r>
    </w:p>
    <w:p>
      <w:pPr>
        <w:pStyle w:val="NoSpacing"/>
        <w:numPr>
          <w:ilvl w:val="0"/>
          <w:numId w:val="1"/>
        </w:numPr>
        <w:rPr>
          <w:b/>
          <w:b/>
          <w:bCs/>
        </w:rPr>
      </w:pPr>
      <w:r>
        <w:rPr>
          <w:rFonts w:ascii="Verdana" w:hAnsi="Verdana"/>
          <w:b/>
          <w:bCs/>
        </w:rPr>
        <w:t>Drive bays:</w:t>
      </w:r>
    </w:p>
    <w:p>
      <w:pPr>
        <w:pStyle w:val="NoSpacing"/>
        <w:numPr>
          <w:ilvl w:val="1"/>
          <w:numId w:val="1"/>
        </w:numPr>
        <w:rPr/>
      </w:pPr>
      <w:r>
        <w:rPr>
          <w:rFonts w:ascii="Verdana" w:hAnsi="Verdana"/>
        </w:rPr>
        <w:t>External: none</w:t>
      </w:r>
    </w:p>
    <w:p>
      <w:pPr>
        <w:pStyle w:val="NoSpacing"/>
        <w:numPr>
          <w:ilvl w:val="1"/>
          <w:numId w:val="1"/>
        </w:numPr>
        <w:rPr/>
      </w:pPr>
      <w:r>
        <w:rPr>
          <w:rFonts w:ascii="Verdana" w:hAnsi="Verdana"/>
        </w:rPr>
        <w:t>Internal:</w:t>
      </w:r>
    </w:p>
    <w:p>
      <w:pPr>
        <w:pStyle w:val="NoSpacing"/>
        <w:numPr>
          <w:ilvl w:val="2"/>
          <w:numId w:val="1"/>
        </w:numPr>
        <w:rPr/>
      </w:pPr>
      <w:r>
        <w:rPr>
          <w:rFonts w:ascii="Verdana" w:hAnsi="Verdana"/>
        </w:rPr>
        <w:t>2 × 2,5”/3,5”</w:t>
      </w:r>
    </w:p>
    <w:p>
      <w:pPr>
        <w:pStyle w:val="NoSpacing"/>
        <w:numPr>
          <w:ilvl w:val="2"/>
          <w:numId w:val="1"/>
        </w:numPr>
        <w:rPr/>
      </w:pPr>
      <w:r>
        <w:rPr>
          <w:rFonts w:ascii="Verdana" w:hAnsi="Verdana"/>
        </w:rPr>
        <w:t>2 × 2,5″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</w:rPr>
        <w:t>Expansion slots:</w:t>
      </w:r>
      <w:r>
        <w:rPr>
          <w:rFonts w:ascii="Verdana" w:hAnsi="Verdana"/>
        </w:rPr>
        <w:t xml:space="preserve"> 7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</w:rPr>
        <w:t>Max GPU length:</w:t>
      </w:r>
      <w:r>
        <w:rPr>
          <w:rFonts w:ascii="Verdana" w:hAnsi="Verdana"/>
        </w:rPr>
        <w:t xml:space="preserve"> 325 mm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</w:rPr>
        <w:t>Max CPU cooler height:</w:t>
      </w:r>
      <w:r>
        <w:rPr>
          <w:rFonts w:ascii="Verdana" w:hAnsi="Verdana"/>
        </w:rPr>
        <w:t xml:space="preserve"> 161 mm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</w:rPr>
        <w:t xml:space="preserve">Cooling system </w:t>
      </w:r>
      <w:r>
        <w:rPr>
          <w:rFonts w:ascii="Verdana" w:hAnsi="Verdana"/>
        </w:rPr>
        <w:t>(1 fan included, max 8):</w:t>
      </w:r>
    </w:p>
    <w:p>
      <w:pPr>
        <w:pStyle w:val="NoSpacing"/>
        <w:numPr>
          <w:ilvl w:val="1"/>
          <w:numId w:val="1"/>
        </w:numPr>
        <w:rPr/>
      </w:pPr>
      <w:r>
        <w:rPr>
          <w:rFonts w:ascii="Verdana" w:hAnsi="Verdana"/>
        </w:rPr>
        <w:t>front: 1 × SilentiumPC HP 120 mm (600 - 1200 rpm) fan.</w:t>
      </w:r>
    </w:p>
    <w:p>
      <w:pPr>
        <w:pStyle w:val="NoSpacing"/>
        <w:numPr>
          <w:ilvl w:val="0"/>
          <w:numId w:val="1"/>
        </w:numPr>
        <w:rPr>
          <w:b/>
          <w:b/>
          <w:bCs/>
        </w:rPr>
      </w:pPr>
      <w:r>
        <w:rPr>
          <w:rFonts w:ascii="Verdana" w:hAnsi="Verdana"/>
          <w:b/>
          <w:bCs/>
        </w:rPr>
        <w:t>Front panel I/O:</w:t>
      </w:r>
    </w:p>
    <w:p>
      <w:pPr>
        <w:pStyle w:val="NoSpacing"/>
        <w:numPr>
          <w:ilvl w:val="1"/>
          <w:numId w:val="1"/>
        </w:numPr>
        <w:rPr/>
      </w:pPr>
      <w:r>
        <w:rPr>
          <w:rFonts w:ascii="Verdana" w:hAnsi="Verdana"/>
        </w:rPr>
        <w:t>2 × USB 3.1 Gen 1 (3.0) (connected internally),</w:t>
      </w:r>
    </w:p>
    <w:p>
      <w:pPr>
        <w:pStyle w:val="NoSpacing"/>
        <w:numPr>
          <w:ilvl w:val="1"/>
          <w:numId w:val="1"/>
        </w:numPr>
        <w:rPr/>
      </w:pPr>
      <w:r>
        <w:rPr>
          <w:rFonts w:ascii="Verdana" w:hAnsi="Verdana"/>
        </w:rPr>
        <w:t>1 × headphones (HD Audio),</w:t>
      </w:r>
    </w:p>
    <w:p>
      <w:pPr>
        <w:pStyle w:val="NoSpacing"/>
        <w:numPr>
          <w:ilvl w:val="1"/>
          <w:numId w:val="1"/>
        </w:numPr>
        <w:rPr/>
      </w:pPr>
      <w:bookmarkStart w:id="2" w:name="__DdeLink__109_584999245"/>
      <w:r>
        <w:rPr>
          <w:rFonts w:ascii="Verdana" w:hAnsi="Verdana"/>
        </w:rPr>
        <w:t xml:space="preserve">1 × </w:t>
      </w:r>
      <w:bookmarkEnd w:id="2"/>
      <w:r>
        <w:rPr>
          <w:rFonts w:ascii="Verdana" w:hAnsi="Verdana"/>
        </w:rPr>
        <w:t>microphone (HD Audio),</w:t>
      </w:r>
    </w:p>
    <w:p>
      <w:pPr>
        <w:pStyle w:val="NoSpacing"/>
        <w:numPr>
          <w:ilvl w:val="1"/>
          <w:numId w:val="1"/>
        </w:numPr>
        <w:rPr/>
      </w:pPr>
      <w:r>
        <w:rPr>
          <w:rFonts w:ascii="Verdana" w:hAnsi="Verdana"/>
        </w:rPr>
        <w:t>1 × POWER button,</w:t>
      </w:r>
    </w:p>
    <w:p>
      <w:pPr>
        <w:pStyle w:val="NoSpacing"/>
        <w:numPr>
          <w:ilvl w:val="1"/>
          <w:numId w:val="1"/>
        </w:numPr>
        <w:rPr/>
      </w:pPr>
      <w:r>
        <w:rPr>
          <w:rFonts w:ascii="Verdana" w:hAnsi="Verdana"/>
        </w:rPr>
        <w:t>1 × RESET button.</w:t>
      </w:r>
    </w:p>
    <w:p>
      <w:pPr>
        <w:pStyle w:val="NoSpacing"/>
        <w:numPr>
          <w:ilvl w:val="0"/>
          <w:numId w:val="1"/>
        </w:numPr>
        <w:rPr/>
      </w:pPr>
      <w:r>
        <w:rPr>
          <w:rFonts w:ascii="Verdana" w:hAnsi="Verdana"/>
          <w:b/>
          <w:bCs/>
        </w:rPr>
        <w:t xml:space="preserve">PSU (ATX PS2 standard): </w:t>
      </w:r>
      <w:r>
        <w:rPr>
          <w:rFonts w:ascii="Verdana" w:hAnsi="Verdana"/>
        </w:rPr>
        <w:t>not included.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0a3919"/>
    <w:rPr>
      <w:sz w:val="20"/>
      <w:szCs w:val="20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0a3919"/>
    <w:rPr>
      <w:vertAlign w:val="superscript"/>
    </w:rPr>
  </w:style>
  <w:style w:type="character" w:styleId="EndnoteAnchor" w:customStyle="1">
    <w:name w:val="Endnote Anchor"/>
    <w:qFormat/>
    <w:rPr>
      <w:vertAlign w:val="superscript"/>
    </w:rPr>
  </w:style>
  <w:style w:type="character" w:styleId="ListLabel1" w:customStyle="1">
    <w:name w:val="ListLabel 1"/>
    <w:qFormat/>
    <w:rPr>
      <w:rFonts w:ascii="Verdana" w:hAnsi="Verdana" w:eastAsia="Calibri" w:cs="Times New Roman"/>
    </w:rPr>
  </w:style>
  <w:style w:type="character" w:styleId="ListLabel2" w:customStyle="1">
    <w:name w:val="ListLabel 2"/>
    <w:qFormat/>
    <w:rPr>
      <w:rFonts w:ascii="Verdana" w:hAnsi="Verdana"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ascii="Verdana" w:hAnsi="Verdana" w:cs="Times New Roman"/>
    </w:rPr>
  </w:style>
  <w:style w:type="character" w:styleId="ListLabel12" w:customStyle="1">
    <w:name w:val="ListLabel 12"/>
    <w:qFormat/>
    <w:rPr>
      <w:rFonts w:ascii="Verdana" w:hAnsi="Verdana" w:cs="Courier New"/>
    </w:rPr>
  </w:style>
  <w:style w:type="character" w:styleId="ListLabel13" w:customStyle="1">
    <w:name w:val="ListLabel 13"/>
    <w:qFormat/>
    <w:rPr>
      <w:rFonts w:ascii="Verdana" w:hAnsi="Verdana" w:cs="Wingdings"/>
    </w:rPr>
  </w:style>
  <w:style w:type="character" w:styleId="ListLabel14" w:customStyle="1">
    <w:name w:val="ListLabel 14"/>
    <w:qFormat/>
    <w:rPr>
      <w:rFonts w:cs="Symbol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character" w:styleId="ListLabel20" w:customStyle="1">
    <w:name w:val="ListLabel 20"/>
    <w:qFormat/>
    <w:rPr>
      <w:rFonts w:ascii="Verdana" w:hAnsi="Verdana" w:cs="Times New Roman"/>
      <w:b/>
      <w:sz w:val="22"/>
    </w:rPr>
  </w:style>
  <w:style w:type="character" w:styleId="ListLabel21" w:customStyle="1">
    <w:name w:val="ListLabel 21"/>
    <w:qFormat/>
    <w:rPr>
      <w:rFonts w:ascii="Verdana" w:hAnsi="Verdana" w:cs="Courier New"/>
      <w:sz w:val="22"/>
    </w:rPr>
  </w:style>
  <w:style w:type="character" w:styleId="ListLabel22" w:customStyle="1">
    <w:name w:val="ListLabel 22"/>
    <w:qFormat/>
    <w:rPr>
      <w:rFonts w:cs="Wingdings"/>
      <w:sz w:val="22"/>
    </w:rPr>
  </w:style>
  <w:style w:type="character" w:styleId="ListLabel23" w:customStyle="1">
    <w:name w:val="ListLabel 23"/>
    <w:qFormat/>
    <w:rPr>
      <w:rFonts w:cs="Symbol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>
    <w:name w:val="ListLabel 29"/>
    <w:qFormat/>
    <w:rPr>
      <w:rFonts w:ascii="Verdana" w:hAnsi="Verdana" w:cs="Times New Roman"/>
      <w:b/>
      <w:sz w:val="22"/>
    </w:rPr>
  </w:style>
  <w:style w:type="character" w:styleId="ListLabel30">
    <w:name w:val="ListLabel 30"/>
    <w:qFormat/>
    <w:rPr>
      <w:rFonts w:ascii="Verdana" w:hAnsi="Verdana" w:cs="Courier New"/>
      <w:sz w:val="22"/>
    </w:rPr>
  </w:style>
  <w:style w:type="character" w:styleId="ListLabel31">
    <w:name w:val="ListLabel 31"/>
    <w:qFormat/>
    <w:rPr>
      <w:rFonts w:cs="Wingdings"/>
      <w:sz w:val="22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ascii="Verdana" w:hAnsi="Verdana" w:cs="Times New Roman"/>
      <w:b/>
      <w:sz w:val="22"/>
    </w:rPr>
  </w:style>
  <w:style w:type="character" w:styleId="ListLabel39">
    <w:name w:val="ListLabel 39"/>
    <w:qFormat/>
    <w:rPr>
      <w:rFonts w:ascii="Verdana" w:hAnsi="Verdana" w:cs="Courier New"/>
      <w:sz w:val="22"/>
    </w:rPr>
  </w:style>
  <w:style w:type="character" w:styleId="ListLabel40">
    <w:name w:val="ListLabel 40"/>
    <w:qFormat/>
    <w:rPr>
      <w:rFonts w:cs="Wingdings"/>
      <w:sz w:val="22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ascii="Verdana" w:hAnsi="Verdana" w:cs="Times New Roman"/>
      <w:b/>
      <w:sz w:val="22"/>
    </w:rPr>
  </w:style>
  <w:style w:type="character" w:styleId="ListLabel48">
    <w:name w:val="ListLabel 48"/>
    <w:qFormat/>
    <w:rPr>
      <w:rFonts w:ascii="Verdana" w:hAnsi="Verdana" w:cs="Courier New"/>
      <w:sz w:val="22"/>
    </w:rPr>
  </w:style>
  <w:style w:type="character" w:styleId="ListLabel49">
    <w:name w:val="ListLabel 49"/>
    <w:qFormat/>
    <w:rPr>
      <w:rFonts w:cs="Wingdings"/>
      <w:sz w:val="22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eader">
    <w:name w:val="Header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fc5a60"/>
    <w:pPr>
      <w:widowControl/>
      <w:bidi w:val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Endnote">
    <w:name w:val="Endnote Text"/>
    <w:basedOn w:val="Normal"/>
    <w:link w:val="TekstprzypisukocowegoZnak"/>
    <w:uiPriority w:val="99"/>
    <w:semiHidden/>
    <w:unhideWhenUsed/>
    <w:rsid w:val="000a3919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LibreOffice/6.1.4.2$Windows_X86_64 LibreOffice_project/9d0f32d1f0b509096fd65e0d4bec26ddd1938fd3</Application>
  <Pages>2</Pages>
  <Words>279</Words>
  <Characters>1285</Characters>
  <CharactersWithSpaces>1466</CharactersWithSpaces>
  <Paragraphs>50</Paragraphs>
  <Company>NVISION.PL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2019-01-23T14:54:00Z</dcterms:created>
  <dc:creator>chaostheory</dc:creator>
  <dc:description/>
  <dc:language>pl-PL</dc:language>
  <cp:lastModifiedBy/>
  <dcterms:modified xsi:type="dcterms:W3CDTF">2019-02-19T07:55:26Z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NVISION.PL Sp. z o.o.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