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rPr/>
      </w:pPr>
      <w:r>
        <w:rPr/>
        <w:t>SilentiumPC Signum SG1 (TG) oraz SG1M (TG) – nowa rodzina niewielkich, acz przestronnych obudów</w:t>
      </w:r>
    </w:p>
    <w:p>
      <w:pPr>
        <w:pStyle w:val="NoSpacing"/>
        <w:rPr/>
      </w:pPr>
      <w:r>
        <w:rPr/>
      </w:r>
    </w:p>
    <w:p>
      <w:pPr>
        <w:pStyle w:val="NoSpacing"/>
        <w:rPr/>
      </w:pPr>
      <w:r>
        <w:rPr/>
        <w:t>SilentiumPC Signum SG1 to członek nowej rodziny obudów wyróżniający się ponadprzeciętną przestronnością, uniwersalnością i wysokim poziomem wentylacji. A to wszystko w segmencie skrojonym pod najlepszy stosunek możliwości do ceny. Elementem wyróżniającym jest zwarta konstrukcja, charakterystyczny front typu „mesh” z szerokimi wlotami powietrza, wentylator Sigma HP 120 mm, a także pełny zestaw filtrów przeciwkurzowych.</w:t>
      </w:r>
    </w:p>
    <w:p>
      <w:pPr>
        <w:pStyle w:val="NoSpacing"/>
        <w:rPr/>
      </w:pPr>
      <w:r>
        <w:rPr/>
      </w:r>
    </w:p>
    <w:p>
      <w:pPr>
        <w:pStyle w:val="NoSpacing"/>
        <w:rPr/>
      </w:pPr>
      <w:r>
        <w:rPr/>
        <w:t>Seria obudów Signum SG1 składa się z pięciu przedstawicieli. Wszystkie wykorzystują tą samą, zwartą i dwukomorową konstrukcję nastawioną na wysoki przepływ powietrza, a także na maksymalną w tym segmencie funkcjonalność. Świadczy o tym m.in. możliwość instalacji zintegrowanych zestawów chłodzenia cieczą z radiatorami o wielkości 120, 240 lub 360 mm z przodu, a także 120/240 na topie. Na tylnej ściance, w miejscu wentylatora Sigma HP, możliwy jest montaż kolejnej chłodnicy o rozmiarze 120 mm.</w:t>
      </w:r>
    </w:p>
    <w:p>
      <w:pPr>
        <w:pStyle w:val="NoSpacing"/>
        <w:rPr/>
      </w:pPr>
      <w:r>
        <w:rPr/>
      </w:r>
    </w:p>
    <w:p>
      <w:pPr>
        <w:pStyle w:val="NoSpacing"/>
        <w:rPr/>
      </w:pPr>
      <w:r>
        <w:rPr/>
        <w:t xml:space="preserve">Użytkownicy preferujący konwencjonalne systemy chłodzenia powietrzem, mogą skorzystać z coolerów wysokich na 161 mm. Zainstalowana karta graficzna może być długa nawet na 325 mm. Obudowa pomieści także dwa dyski twarde 3,5” lub 2,5”, a także dwa kolejne nośniki 2,5”. Zatoka na dyski twarde 3,5”/2,5” jest demontowalna i można ją przesunąć robiąc więcej miejsca na chłodnicę zintegrowanego zestawu AIO zamontowaną z przodu bądź przeznaczając go na dłuższy zasilacz (160 zamiast 140 mm). W celu zmniejszenia wymiarów, a także poprawy funkcjonalności nie przewidziano miejsca na napęd optyczny 5,25”. </w:t>
      </w:r>
    </w:p>
    <w:p>
      <w:pPr>
        <w:pStyle w:val="NoSpacing"/>
        <w:rPr/>
      </w:pPr>
      <w:r>
        <w:rPr/>
      </w:r>
    </w:p>
    <w:p>
      <w:pPr>
        <w:pStyle w:val="NoSpacing"/>
        <w:rPr/>
      </w:pPr>
      <w:r>
        <w:rPr/>
        <w:t>O właściwą wentylację dbają: dwukomorowa konstrukcja, przewiewny front, otwarty top, a także liczne miejsca na instalację wentylatorów. Z przodu zmieszczą się aż 3 o rozmiarze 120 mm, kolejne dwa można zamontować na topie (120 lub 140 mm), miejsce na szósty znajduje się na tylnej ściance. Dla najbardziej wymagających konfiguracji, na osłonie zasilacza obudów Signum SG1 przewidziano miejsce na dwa ostatnie wentylatory 120 mm, które dostarczą powietrze bezpośrednio na kartę graficzną. O czystość tak wentylowanej obudowy dba pełny zestaw filtrów przeciwkurzowych: z przodu, pod zasilaczem, a także na topie.</w:t>
      </w:r>
    </w:p>
    <w:p>
      <w:pPr>
        <w:pStyle w:val="NoSpacing"/>
        <w:rPr/>
      </w:pPr>
      <w:r>
        <w:rPr/>
      </w:r>
    </w:p>
    <w:p>
      <w:pPr>
        <w:pStyle w:val="NoSpacing"/>
        <w:rPr/>
      </w:pPr>
      <w:r>
        <w:rPr/>
        <w:t>Umieszczony na górze obudów z rodziny SilentiumPC Signum SG1 panel portów I/O udostępnia dwa gniazda USB 3.1 Gen 1 (3.0), wyjścia/wejścia audio oraz przyciski: power i reset. Zapewnia on wygodny dostęp do najważniejszych złącz bez konieczności sięgania na tył komputera np. w celu podłączenia pen-drive’a.</w:t>
      </w:r>
    </w:p>
    <w:p>
      <w:pPr>
        <w:pStyle w:val="NoSpacing"/>
        <w:rPr/>
      </w:pPr>
      <w:r>
        <w:rPr/>
      </w:r>
    </w:p>
    <w:p>
      <w:pPr>
        <w:pStyle w:val="NoSpacing"/>
        <w:rPr/>
      </w:pPr>
      <w:r>
        <w:rPr/>
        <w:t>O właściwą aranżację okablowania, a także komponentów zainstalowanych w środku, dba dwukomorowa konstrukcja obudów Signum SG1 wraz z zatoką serwisową, głęboką nawet na 35 mm w kluczowych miejscach. Ukryć przewody pomogą także liczne zaczepy oraz opaski zaciskowe.</w:t>
      </w:r>
    </w:p>
    <w:p>
      <w:pPr>
        <w:pStyle w:val="NoSpacing"/>
        <w:rPr/>
      </w:pPr>
      <w:r>
        <w:rPr/>
      </w:r>
    </w:p>
    <w:p>
      <w:pPr>
        <w:pStyle w:val="NoSpacing"/>
        <w:rPr/>
      </w:pPr>
      <w:r>
        <w:rPr/>
        <w:t>Seria obudów SilentiumPC Signum SG1 składa się z następujących modeli:</w:t>
      </w:r>
    </w:p>
    <w:p>
      <w:pPr>
        <w:pStyle w:val="NoSpacing"/>
        <w:numPr>
          <w:ilvl w:val="0"/>
          <w:numId w:val="1"/>
        </w:numPr>
        <w:rPr>
          <w:lang w:val="en-GB"/>
        </w:rPr>
      </w:pPr>
      <w:r>
        <w:rPr>
          <w:lang w:val="en-GB"/>
        </w:rPr>
        <w:t>Signum SG1: panel przedni „mesh”, wentylator Sigma HP 120 mm.</w:t>
      </w:r>
    </w:p>
    <w:p>
      <w:pPr>
        <w:pStyle w:val="NoSpacing"/>
        <w:numPr>
          <w:ilvl w:val="0"/>
          <w:numId w:val="1"/>
        </w:numPr>
        <w:rPr/>
      </w:pPr>
      <w:r>
        <w:rPr/>
        <w:t>Signum SG1 TG: panel przedni „mesh”, 2 wentylatory Sigma HP 120 mm, panel boczny ze szkła hartowanego.</w:t>
      </w:r>
    </w:p>
    <w:p>
      <w:pPr>
        <w:pStyle w:val="NoSpacing"/>
        <w:numPr>
          <w:ilvl w:val="0"/>
          <w:numId w:val="1"/>
        </w:numPr>
        <w:rPr/>
      </w:pPr>
      <w:r>
        <w:rPr/>
        <w:t>Signum SG1M: panel przedni z metalowym wykończeniem, wentylator Sigma HP 120 mm.</w:t>
      </w:r>
    </w:p>
    <w:p>
      <w:pPr>
        <w:pStyle w:val="NoSpacing"/>
        <w:numPr>
          <w:ilvl w:val="0"/>
          <w:numId w:val="1"/>
        </w:numPr>
        <w:rPr/>
      </w:pPr>
      <w:r>
        <w:rPr/>
        <w:t>Signum SG1M TG: panel przedni z metalowym wykończeniem, 2 wentylatory Sigma HP 120 mm, panel boczny ze szkła hartowanego.</w:t>
      </w:r>
    </w:p>
    <w:p>
      <w:pPr>
        <w:pStyle w:val="NoSpacing"/>
        <w:numPr>
          <w:ilvl w:val="0"/>
          <w:numId w:val="1"/>
        </w:numPr>
        <w:rPr/>
      </w:pPr>
      <w:r>
        <w:rPr/>
        <w:t>Signum SG1X TG RGB: dwa panele ze szkła hartowanego (z przodu oraz z boku), 4 wentylatory Sigma HP Corona RGB 120 mm, kontroler Nano-Reset RGB dla 4 urządzeń RGB o  oraz wbudowany rozgałęziacz PWM dla 4 wentylatorów.</w:t>
      </w:r>
    </w:p>
    <w:p>
      <w:pPr>
        <w:pStyle w:val="NoSpacing"/>
        <w:rPr/>
      </w:pPr>
      <w:r>
        <w:rPr/>
      </w:r>
    </w:p>
    <w:p>
      <w:pPr>
        <w:pStyle w:val="NoSpacing"/>
        <w:rPr/>
      </w:pPr>
      <w:r>
        <w:rPr/>
        <w:t>Główne cechy obudowy SilentiumPC Signum SG1:</w:t>
      </w:r>
    </w:p>
    <w:p>
      <w:pPr>
        <w:pStyle w:val="NoSpacing"/>
        <w:numPr>
          <w:ilvl w:val="0"/>
          <w:numId w:val="1"/>
        </w:numPr>
        <w:rPr/>
      </w:pPr>
      <w:r>
        <w:rPr/>
        <w:t>Przewiewny i charakterystyczny front typu „mesh”.</w:t>
      </w:r>
    </w:p>
    <w:p>
      <w:pPr>
        <w:pStyle w:val="NoSpacing"/>
        <w:numPr>
          <w:ilvl w:val="0"/>
          <w:numId w:val="1"/>
        </w:numPr>
        <w:rPr/>
      </w:pPr>
      <w:r>
        <w:rPr/>
        <w:t>Przestronna i dwukomorowa konstrukcja wraz z głęboką zatoką serwisową.</w:t>
      </w:r>
    </w:p>
    <w:p>
      <w:pPr>
        <w:pStyle w:val="NoSpacing"/>
        <w:numPr>
          <w:ilvl w:val="0"/>
          <w:numId w:val="1"/>
        </w:numPr>
        <w:rPr/>
      </w:pPr>
      <w:r>
        <w:rPr/>
        <w:t>Możliwość instalacji zestawu chłodzenia CPU wysokiego na 161 mm oraz karty graficznej długiej na 325 mm.</w:t>
      </w:r>
    </w:p>
    <w:p>
      <w:pPr>
        <w:pStyle w:val="NoSpacing"/>
        <w:numPr>
          <w:ilvl w:val="0"/>
          <w:numId w:val="1"/>
        </w:numPr>
        <w:rPr/>
      </w:pPr>
      <w:r>
        <w:rPr/>
        <w:t>Kompatybilność ze zintegrowanymi zestawami chłodzenia cieczą AIO z radiatorami: 120/240/360 mm z przodu, 120/240 mm na topie lub 120 mm z tyłu.</w:t>
      </w:r>
    </w:p>
    <w:p>
      <w:pPr>
        <w:pStyle w:val="NoSpacing"/>
        <w:numPr>
          <w:ilvl w:val="0"/>
          <w:numId w:val="1"/>
        </w:numPr>
        <w:rPr/>
      </w:pPr>
      <w:r>
        <w:rPr/>
        <w:t xml:space="preserve">Wydajny wentylator Sigma HP 120 mm (600@5V-1200@12V obr./min ±10%). </w:t>
      </w:r>
    </w:p>
    <w:p>
      <w:pPr>
        <w:pStyle w:val="NoSpacing"/>
        <w:numPr>
          <w:ilvl w:val="0"/>
          <w:numId w:val="1"/>
        </w:numPr>
        <w:rPr/>
      </w:pPr>
      <w:r>
        <w:rPr/>
        <w:t>Możliwość instalacji nawet 8 wentylatorów 120 mm. Dwa z nich – na topie – mogą mieć rozmiar 140 mm.</w:t>
      </w:r>
    </w:p>
    <w:p>
      <w:pPr>
        <w:pStyle w:val="NoSpacing"/>
        <w:numPr>
          <w:ilvl w:val="0"/>
          <w:numId w:val="1"/>
        </w:numPr>
        <w:rPr/>
      </w:pPr>
      <w:r>
        <w:rPr/>
        <w:t>Pełny zestaw filtrów przeciwkurzowych.</w:t>
      </w:r>
    </w:p>
    <w:p>
      <w:pPr>
        <w:pStyle w:val="NoSpacing"/>
        <w:numPr>
          <w:ilvl w:val="0"/>
          <w:numId w:val="1"/>
        </w:numPr>
        <w:rPr/>
      </w:pPr>
      <w:r>
        <w:rPr/>
        <w:t>Możliwość montażu 2 nośników 2,5”, a także 2 dysków 3,5” lub 2,5”.</w:t>
      </w:r>
    </w:p>
    <w:p>
      <w:pPr>
        <w:pStyle w:val="NoSpacing"/>
        <w:rPr/>
      </w:pPr>
      <w:r>
        <w:rPr/>
      </w:r>
    </w:p>
    <w:p>
      <w:pPr>
        <w:pStyle w:val="NoSpacing"/>
        <w:rPr/>
      </w:pPr>
      <w:r>
        <w:rPr/>
      </w:r>
      <w:bookmarkStart w:id="0" w:name="_GoBack"/>
      <w:bookmarkStart w:id="1" w:name="_GoBack"/>
      <w:bookmarkEnd w:id="1"/>
    </w:p>
    <w:p>
      <w:pPr>
        <w:pStyle w:val="NoSpacing"/>
        <w:rPr/>
      </w:pPr>
      <w:r>
        <w:rPr/>
      </w:r>
    </w:p>
    <w:p>
      <w:pPr>
        <w:pStyle w:val="NoSpacing"/>
        <w:rPr/>
      </w:pPr>
      <w:r>
        <w:rPr/>
        <w:t>Przewidywana cena Signum SG1: 139 zł</w:t>
        <w:br/>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Fonts w:cs=""/>
        <w:lang w:val="pl-P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00000A"/>
      <w:kern w:val="0"/>
      <w:sz w:val="22"/>
      <w:szCs w:val="22"/>
      <w:lang w:val="pl-PL"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eastAsia="Calibri" w:cs=""/>
      <w:lang w:val="pl-PL"/>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
      <w:lang w:val="pl-PL"/>
    </w:rPr>
  </w:style>
  <w:style w:type="character" w:styleId="ListLabel6">
    <w:name w:val="ListLabel 6"/>
    <w:qFormat/>
    <w:rPr>
      <w:rFonts w:cs="Courier New"/>
    </w:rPr>
  </w:style>
  <w:style w:type="character" w:styleId="ListLabel7">
    <w:name w:val="ListLabel 7"/>
    <w:qFormat/>
    <w:rPr>
      <w:rFonts w:cs="Wingdings"/>
    </w:rPr>
  </w:style>
  <w:style w:type="character" w:styleId="ListLabel8">
    <w:name w:val="ListLabel 8"/>
    <w:qFormat/>
    <w:rPr>
      <w:rFonts w:cs="Symbol"/>
    </w:rPr>
  </w:style>
  <w:style w:type="character" w:styleId="ListLabel9">
    <w:name w:val="ListLabel 9"/>
    <w:qFormat/>
    <w:rPr>
      <w:rFonts w:cs="Courier New"/>
    </w:rPr>
  </w:style>
  <w:style w:type="character" w:styleId="ListLabel10">
    <w:name w:val="ListLabel 10"/>
    <w:qFormat/>
    <w:rPr>
      <w:rFonts w:cs="Wingdings"/>
    </w:rPr>
  </w:style>
  <w:style w:type="character" w:styleId="ListLabel11">
    <w:name w:val="ListLabel 11"/>
    <w:qFormat/>
    <w:rPr>
      <w:rFonts w:cs="Symbol"/>
    </w:rPr>
  </w:style>
  <w:style w:type="character" w:styleId="ListLabel12">
    <w:name w:val="ListLabel 12"/>
    <w:qFormat/>
    <w:rPr>
      <w:rFonts w:cs="Courier New"/>
    </w:rPr>
  </w:style>
  <w:style w:type="character" w:styleId="ListLabel13">
    <w:name w:val="ListLabel 13"/>
    <w:qFormat/>
    <w:rPr>
      <w:rFonts w:cs="Wingdings"/>
    </w:rPr>
  </w:style>
  <w:style w:type="character" w:styleId="ListLabel14">
    <w:name w:val="ListLabel 14"/>
    <w:qFormat/>
    <w:rPr>
      <w:rFonts w:cs=""/>
      <w:lang w:val="pl-PL"/>
    </w:rPr>
  </w:style>
  <w:style w:type="character" w:styleId="ListLabel15">
    <w:name w:val="ListLabel 15"/>
    <w:qFormat/>
    <w:rPr>
      <w:rFonts w:cs="Courier New"/>
    </w:rPr>
  </w:style>
  <w:style w:type="character" w:styleId="ListLabel16">
    <w:name w:val="ListLabel 16"/>
    <w:qFormat/>
    <w:rPr>
      <w:rFonts w:cs="Wingdings"/>
    </w:rPr>
  </w:style>
  <w:style w:type="character" w:styleId="ListLabel17">
    <w:name w:val="ListLabel 17"/>
    <w:qFormat/>
    <w:rPr>
      <w:rFonts w:cs="Symbol"/>
    </w:rPr>
  </w:style>
  <w:style w:type="character" w:styleId="ListLabel18">
    <w:name w:val="ListLabel 18"/>
    <w:qFormat/>
    <w:rPr>
      <w:rFonts w:cs="Courier New"/>
    </w:rPr>
  </w:style>
  <w:style w:type="character" w:styleId="ListLabel19">
    <w:name w:val="ListLabel 19"/>
    <w:qFormat/>
    <w:rPr>
      <w:rFonts w:cs="Wingdings"/>
    </w:rPr>
  </w:style>
  <w:style w:type="character" w:styleId="ListLabel20">
    <w:name w:val="ListLabel 20"/>
    <w:qFormat/>
    <w:rPr>
      <w:rFonts w:cs="Symbol"/>
    </w:rPr>
  </w:style>
  <w:style w:type="character" w:styleId="ListLabel21">
    <w:name w:val="ListLabel 21"/>
    <w:qFormat/>
    <w:rPr>
      <w:rFonts w:cs="Courier New"/>
    </w:rPr>
  </w:style>
  <w:style w:type="character" w:styleId="ListLabel22">
    <w:name w:val="ListLabel 22"/>
    <w:qFormat/>
    <w:rPr>
      <w:rFonts w:cs="Wingdings"/>
    </w:rPr>
  </w:style>
  <w:style w:type="character" w:styleId="ListLabel23">
    <w:name w:val="ListLabel 23"/>
    <w:qFormat/>
    <w:rPr>
      <w:rFonts w:cs=""/>
      <w:lang w:val="pl-PL"/>
    </w:rPr>
  </w:style>
  <w:style w:type="character" w:styleId="ListLabel24">
    <w:name w:val="ListLabel 24"/>
    <w:qFormat/>
    <w:rPr>
      <w:rFonts w:cs="Courier New"/>
    </w:rPr>
  </w:style>
  <w:style w:type="character" w:styleId="ListLabel25">
    <w:name w:val="ListLabel 25"/>
    <w:qFormat/>
    <w:rPr>
      <w:rFonts w:cs="Wingdings"/>
    </w:rPr>
  </w:style>
  <w:style w:type="character" w:styleId="ListLabel26">
    <w:name w:val="ListLabel 26"/>
    <w:qFormat/>
    <w:rPr>
      <w:rFonts w:cs="Symbol"/>
    </w:rPr>
  </w:style>
  <w:style w:type="character" w:styleId="ListLabel27">
    <w:name w:val="ListLabel 27"/>
    <w:qFormat/>
    <w:rPr>
      <w:rFonts w:cs="Courier New"/>
    </w:rPr>
  </w:style>
  <w:style w:type="character" w:styleId="ListLabel28">
    <w:name w:val="ListLabel 28"/>
    <w:qFormat/>
    <w:rPr>
      <w:rFonts w:cs="Wingdings"/>
    </w:rPr>
  </w:style>
  <w:style w:type="character" w:styleId="ListLabel29">
    <w:name w:val="ListLabel 29"/>
    <w:qFormat/>
    <w:rPr>
      <w:rFonts w:cs="Symbol"/>
    </w:rPr>
  </w:style>
  <w:style w:type="character" w:styleId="ListLabel30">
    <w:name w:val="ListLabel 30"/>
    <w:qFormat/>
    <w:rPr>
      <w:rFonts w:cs="Courier New"/>
    </w:rPr>
  </w:style>
  <w:style w:type="character" w:styleId="ListLabel31">
    <w:name w:val="ListLabel 31"/>
    <w:qFormat/>
    <w:rPr>
      <w:rFonts w:cs="Wingdings"/>
    </w:rPr>
  </w:style>
  <w:style w:type="character" w:styleId="ListLabel32">
    <w:name w:val="ListLabel 32"/>
    <w:qFormat/>
    <w:rPr>
      <w:rFonts w:cs=""/>
      <w:lang w:val="pl-PL"/>
    </w:rPr>
  </w:style>
  <w:style w:type="character" w:styleId="ListLabel33">
    <w:name w:val="ListLabel 33"/>
    <w:qFormat/>
    <w:rPr>
      <w:rFonts w:cs="Courier New"/>
    </w:rPr>
  </w:style>
  <w:style w:type="character" w:styleId="ListLabel34">
    <w:name w:val="ListLabel 34"/>
    <w:qFormat/>
    <w:rPr>
      <w:rFonts w:cs="Wingdings"/>
    </w:rPr>
  </w:style>
  <w:style w:type="character" w:styleId="ListLabel35">
    <w:name w:val="ListLabel 35"/>
    <w:qFormat/>
    <w:rPr>
      <w:rFonts w:cs="Symbol"/>
    </w:rPr>
  </w:style>
  <w:style w:type="character" w:styleId="ListLabel36">
    <w:name w:val="ListLabel 36"/>
    <w:qFormat/>
    <w:rPr>
      <w:rFonts w:cs="Courier New"/>
    </w:rPr>
  </w:style>
  <w:style w:type="character" w:styleId="ListLabel37">
    <w:name w:val="ListLabel 37"/>
    <w:qFormat/>
    <w:rPr>
      <w:rFonts w:cs="Wingdings"/>
    </w:rPr>
  </w:style>
  <w:style w:type="character" w:styleId="ListLabel38">
    <w:name w:val="ListLabel 38"/>
    <w:qFormat/>
    <w:rPr>
      <w:rFonts w:cs="Symbol"/>
    </w:rPr>
  </w:style>
  <w:style w:type="character" w:styleId="ListLabel39">
    <w:name w:val="ListLabel 39"/>
    <w:qFormat/>
    <w:rPr>
      <w:rFonts w:cs="Courier New"/>
    </w:rPr>
  </w:style>
  <w:style w:type="character" w:styleId="ListLabel40">
    <w:name w:val="ListLabel 40"/>
    <w:qFormat/>
    <w:rPr>
      <w:rFonts w:cs="Wingdings"/>
    </w:rPr>
  </w:style>
  <w:style w:type="character" w:styleId="ListLabel41">
    <w:name w:val="ListLabel 41"/>
    <w:qFormat/>
    <w:rPr>
      <w:rFonts w:cs=""/>
      <w:lang w:val="pl-PL"/>
    </w:rPr>
  </w:style>
  <w:style w:type="character" w:styleId="ListLabel42">
    <w:name w:val="ListLabel 42"/>
    <w:qFormat/>
    <w:rPr>
      <w:rFonts w:cs="Courier New"/>
    </w:rPr>
  </w:style>
  <w:style w:type="character" w:styleId="ListLabel43">
    <w:name w:val="ListLabel 43"/>
    <w:qFormat/>
    <w:rPr>
      <w:rFonts w:cs="Wingdings"/>
    </w:rPr>
  </w:style>
  <w:style w:type="character" w:styleId="ListLabel44">
    <w:name w:val="ListLabel 44"/>
    <w:qFormat/>
    <w:rPr>
      <w:rFonts w:cs="Symbol"/>
    </w:rPr>
  </w:style>
  <w:style w:type="character" w:styleId="ListLabel45">
    <w:name w:val="ListLabel 45"/>
    <w:qFormat/>
    <w:rPr>
      <w:rFonts w:cs="Courier New"/>
    </w:rPr>
  </w:style>
  <w:style w:type="character" w:styleId="ListLabel46">
    <w:name w:val="ListLabel 46"/>
    <w:qFormat/>
    <w:rPr>
      <w:rFonts w:cs="Wingdings"/>
    </w:rPr>
  </w:style>
  <w:style w:type="character" w:styleId="ListLabel47">
    <w:name w:val="ListLabel 47"/>
    <w:qFormat/>
    <w:rPr>
      <w:rFonts w:cs="Symbol"/>
    </w:rPr>
  </w:style>
  <w:style w:type="character" w:styleId="ListLabel48">
    <w:name w:val="ListLabel 48"/>
    <w:qFormat/>
    <w:rPr>
      <w:rFonts w:cs="Courier New"/>
    </w:rPr>
  </w:style>
  <w:style w:type="character" w:styleId="ListLabel49">
    <w:name w:val="ListLabel 49"/>
    <w:qFormat/>
    <w:rPr>
      <w:rFonts w:cs="Wingdings"/>
    </w:rPr>
  </w:style>
  <w:style w:type="character" w:styleId="ListLabel50">
    <w:name w:val="ListLabel 50"/>
    <w:qFormat/>
    <w:rPr>
      <w:rFonts w:cs=""/>
      <w:lang w:val="pl-PL"/>
    </w:rPr>
  </w:style>
  <w:style w:type="character" w:styleId="ListLabel51">
    <w:name w:val="ListLabel 51"/>
    <w:qFormat/>
    <w:rPr>
      <w:rFonts w:cs="Courier New"/>
    </w:rPr>
  </w:style>
  <w:style w:type="character" w:styleId="ListLabel52">
    <w:name w:val="ListLabel 52"/>
    <w:qFormat/>
    <w:rPr>
      <w:rFonts w:cs="Wingdings"/>
    </w:rPr>
  </w:style>
  <w:style w:type="character" w:styleId="ListLabel53">
    <w:name w:val="ListLabel 53"/>
    <w:qFormat/>
    <w:rPr>
      <w:rFonts w:cs="Symbol"/>
    </w:rPr>
  </w:style>
  <w:style w:type="character" w:styleId="ListLabel54">
    <w:name w:val="ListLabel 54"/>
    <w:qFormat/>
    <w:rPr>
      <w:rFonts w:cs="Courier New"/>
    </w:rPr>
  </w:style>
  <w:style w:type="character" w:styleId="ListLabel55">
    <w:name w:val="ListLabel 55"/>
    <w:qFormat/>
    <w:rPr>
      <w:rFonts w:cs="Wingdings"/>
    </w:rPr>
  </w:style>
  <w:style w:type="character" w:styleId="ListLabel56">
    <w:name w:val="ListLabel 56"/>
    <w:qFormat/>
    <w:rPr>
      <w:rFonts w:cs="Symbol"/>
    </w:rPr>
  </w:style>
  <w:style w:type="character" w:styleId="ListLabel57">
    <w:name w:val="ListLabel 57"/>
    <w:qFormat/>
    <w:rPr>
      <w:rFonts w:cs="Courier New"/>
    </w:rPr>
  </w:style>
  <w:style w:type="character" w:styleId="ListLabel58">
    <w:name w:val="ListLabel 58"/>
    <w:qFormat/>
    <w:rPr>
      <w:rFonts w:cs="Wingdings"/>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Lucida Sans"/>
    </w:rPr>
  </w:style>
  <w:style w:type="paragraph" w:styleId="Nagwek">
    <w:name w:val="Nagłówek"/>
    <w:basedOn w:val="Normal"/>
    <w:next w:val="TextBody"/>
    <w:qFormat/>
    <w:pPr>
      <w:keepNext w:val="true"/>
      <w:spacing w:before="240" w:after="120"/>
    </w:pPr>
    <w:rPr>
      <w:rFonts w:ascii="Liberation Sans" w:hAnsi="Liberation Sans" w:eastAsia="Microsoft YaHei" w:cs="Arial"/>
      <w:sz w:val="28"/>
      <w:szCs w:val="28"/>
    </w:rPr>
  </w:style>
  <w:style w:type="paragraph" w:styleId="Indeks">
    <w:name w:val="Indeks"/>
    <w:basedOn w:val="Normal"/>
    <w:qFormat/>
    <w:pPr>
      <w:suppressLineNumbers/>
    </w:pPr>
    <w:rPr>
      <w:rFonts w:cs="Arial"/>
    </w:rPr>
  </w:style>
  <w:style w:type="paragraph" w:styleId="NoSpacing">
    <w:name w:val="No Spacing"/>
    <w:uiPriority w:val="1"/>
    <w:qFormat/>
    <w:rsid w:val="00c33b1f"/>
    <w:pPr>
      <w:widowControl/>
      <w:bidi w:val="0"/>
      <w:spacing w:lineRule="auto" w:line="240" w:before="0" w:after="0"/>
      <w:jc w:val="left"/>
    </w:pPr>
    <w:rPr>
      <w:rFonts w:ascii="Calibri" w:hAnsi="Calibri" w:eastAsia="Calibri" w:cs="" w:asciiTheme="minorHAnsi" w:cstheme="minorBidi" w:eastAsiaTheme="minorHAnsi" w:hAnsiTheme="minorHAnsi"/>
      <w:color w:val="00000A"/>
      <w:kern w:val="0"/>
      <w:sz w:val="22"/>
      <w:szCs w:val="22"/>
      <w:lang w:val="pl-PL" w:eastAsia="en-US" w:bidi="ar-SA"/>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Application>LibreOffice/6.1.4.2$Windows_X86_64 LibreOffice_project/9d0f32d1f0b509096fd65e0d4bec26ddd1938fd3</Application>
  <Pages>2</Pages>
  <Words>620</Words>
  <Characters>3579</Characters>
  <CharactersWithSpaces>4170</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2019-02-17T19:57:00Z</dcterms:created>
  <dc:creator>Tomasz Niechaj</dc:creator>
  <dc:description/>
  <dc:language>pl-PL</dc:language>
  <cp:lastModifiedBy/>
  <dcterms:modified xsi:type="dcterms:W3CDTF">2019-02-19T07:37:51Z</dcterms:modified>
  <cp:revision>57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